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79F" w:rsidRPr="005550CD" w:rsidRDefault="00704625" w:rsidP="00F2479F">
      <w:pPr>
        <w:pStyle w:val="Default"/>
        <w:jc w:val="center"/>
        <w:rPr>
          <w:b/>
          <w:sz w:val="32"/>
          <w:szCs w:val="32"/>
        </w:rPr>
      </w:pPr>
      <w:r>
        <w:rPr>
          <w:rFonts w:hint="eastAsia"/>
          <w:b/>
          <w:bCs/>
          <w:sz w:val="32"/>
          <w:szCs w:val="32"/>
        </w:rPr>
        <w:t>臺北市</w:t>
      </w:r>
      <w:r w:rsidR="002F69FB">
        <w:rPr>
          <w:rFonts w:hint="eastAsia"/>
          <w:b/>
          <w:bCs/>
          <w:sz w:val="32"/>
          <w:szCs w:val="32"/>
        </w:rPr>
        <w:t>10</w:t>
      </w:r>
      <w:r w:rsidR="004A511E">
        <w:rPr>
          <w:b/>
          <w:bCs/>
          <w:sz w:val="32"/>
          <w:szCs w:val="32"/>
        </w:rPr>
        <w:t>8</w:t>
      </w:r>
      <w:r w:rsidR="005550CD" w:rsidRPr="005550CD">
        <w:rPr>
          <w:rFonts w:hint="eastAsia"/>
          <w:b/>
          <w:bCs/>
          <w:sz w:val="32"/>
          <w:szCs w:val="32"/>
        </w:rPr>
        <w:t>學年度</w:t>
      </w:r>
      <w:r>
        <w:rPr>
          <w:rFonts w:hint="eastAsia"/>
          <w:b/>
          <w:bCs/>
          <w:sz w:val="32"/>
          <w:szCs w:val="32"/>
        </w:rPr>
        <w:t>身心障礙新生</w:t>
      </w:r>
      <w:r w:rsidR="005550CD" w:rsidRPr="005550CD">
        <w:rPr>
          <w:rFonts w:hint="eastAsia"/>
          <w:b/>
          <w:bCs/>
          <w:sz w:val="32"/>
          <w:szCs w:val="32"/>
        </w:rPr>
        <w:t>入學國</w:t>
      </w:r>
      <w:r>
        <w:rPr>
          <w:rFonts w:hint="eastAsia"/>
          <w:b/>
          <w:bCs/>
          <w:sz w:val="32"/>
          <w:szCs w:val="32"/>
        </w:rPr>
        <w:t>民</w:t>
      </w:r>
      <w:r w:rsidR="005550CD" w:rsidRPr="005550CD">
        <w:rPr>
          <w:rFonts w:hint="eastAsia"/>
          <w:b/>
          <w:bCs/>
          <w:sz w:val="32"/>
          <w:szCs w:val="32"/>
        </w:rPr>
        <w:t>中</w:t>
      </w:r>
      <w:r>
        <w:rPr>
          <w:rFonts w:hint="eastAsia"/>
          <w:b/>
          <w:bCs/>
          <w:sz w:val="32"/>
          <w:szCs w:val="32"/>
        </w:rPr>
        <w:t>學</w:t>
      </w:r>
      <w:r w:rsidR="005550CD" w:rsidRPr="005550CD">
        <w:rPr>
          <w:rFonts w:hint="eastAsia"/>
          <w:b/>
          <w:bCs/>
          <w:sz w:val="32"/>
          <w:szCs w:val="32"/>
        </w:rPr>
        <w:t>特殊教育鑑定安置與轉銜服務家長說明會</w:t>
      </w:r>
      <w:r w:rsidR="00F2479F" w:rsidRPr="005550CD">
        <w:rPr>
          <w:rFonts w:hint="eastAsia"/>
          <w:b/>
          <w:sz w:val="32"/>
          <w:szCs w:val="32"/>
        </w:rPr>
        <w:t>實施計畫</w:t>
      </w:r>
    </w:p>
    <w:p w:rsidR="00704625" w:rsidRDefault="00704625" w:rsidP="00704625">
      <w:pPr>
        <w:spacing w:line="480" w:lineRule="exact"/>
        <w:jc w:val="both"/>
        <w:rPr>
          <w:rFonts w:eastAsia="標楷體"/>
        </w:rPr>
      </w:pPr>
      <w:r>
        <w:rPr>
          <w:rFonts w:ascii="標楷體" w:eastAsia="標楷體" w:hAnsi="標楷體" w:hint="eastAsia"/>
        </w:rPr>
        <w:t>壹、</w:t>
      </w:r>
      <w:r w:rsidR="00F2479F" w:rsidRPr="00704625">
        <w:rPr>
          <w:rFonts w:ascii="標楷體" w:eastAsia="標楷體" w:hAnsi="標楷體" w:hint="eastAsia"/>
        </w:rPr>
        <w:t>依據</w:t>
      </w:r>
      <w:r w:rsidR="00D35279" w:rsidRPr="00704625">
        <w:rPr>
          <w:rFonts w:ascii="標楷體" w:eastAsia="標楷體" w:hAnsi="標楷體" w:hint="eastAsia"/>
        </w:rPr>
        <w:t>：</w:t>
      </w:r>
      <w:r w:rsidRPr="00704625">
        <w:rPr>
          <w:rFonts w:eastAsia="標楷體" w:hint="eastAsia"/>
        </w:rPr>
        <w:t>臺北市</w:t>
      </w:r>
      <w:r w:rsidR="004A511E">
        <w:rPr>
          <w:rFonts w:eastAsia="標楷體" w:hint="eastAsia"/>
        </w:rPr>
        <w:t>107</w:t>
      </w:r>
      <w:r w:rsidRPr="00704625">
        <w:rPr>
          <w:rFonts w:eastAsia="標楷體" w:hint="eastAsia"/>
        </w:rPr>
        <w:t>學年度國民中學身心障礙在校生暨</w:t>
      </w:r>
      <w:r w:rsidR="004A511E">
        <w:rPr>
          <w:rFonts w:eastAsia="標楷體" w:hint="eastAsia"/>
        </w:rPr>
        <w:t>108</w:t>
      </w:r>
      <w:r w:rsidRPr="00704625">
        <w:rPr>
          <w:rFonts w:eastAsia="標楷體" w:hint="eastAsia"/>
        </w:rPr>
        <w:t>學年度新生入學國民中學鑑定及安置工</w:t>
      </w:r>
    </w:p>
    <w:p w:rsidR="00F2479F" w:rsidRPr="00704625" w:rsidRDefault="00704625" w:rsidP="00704625">
      <w:pPr>
        <w:spacing w:line="480" w:lineRule="exact"/>
        <w:jc w:val="both"/>
        <w:rPr>
          <w:rFonts w:eastAsia="標楷體"/>
        </w:rPr>
      </w:pPr>
      <w:r>
        <w:rPr>
          <w:rFonts w:eastAsia="標楷體" w:hint="eastAsia"/>
        </w:rPr>
        <w:t xml:space="preserve">         </w:t>
      </w:r>
      <w:r>
        <w:rPr>
          <w:rFonts w:eastAsia="標楷體" w:hint="eastAsia"/>
        </w:rPr>
        <w:t>作</w:t>
      </w:r>
      <w:r w:rsidRPr="00704625">
        <w:rPr>
          <w:rFonts w:eastAsia="標楷體" w:hint="eastAsia"/>
        </w:rPr>
        <w:t>計畫</w:t>
      </w:r>
    </w:p>
    <w:p w:rsidR="00F2479F" w:rsidRPr="00D35279" w:rsidRDefault="00F2479F" w:rsidP="00D35279">
      <w:pPr>
        <w:spacing w:line="360" w:lineRule="auto"/>
        <w:rPr>
          <w:rFonts w:ascii="標楷體" w:eastAsia="標楷體" w:hAnsi="標楷體"/>
        </w:rPr>
      </w:pPr>
      <w:r w:rsidRPr="00D35279">
        <w:rPr>
          <w:rFonts w:ascii="標楷體" w:eastAsia="標楷體" w:hAnsi="標楷體" w:hint="eastAsia"/>
        </w:rPr>
        <w:t>貳、目的</w:t>
      </w:r>
      <w:r w:rsidR="00BB37FE">
        <w:rPr>
          <w:rFonts w:ascii="標楷體" w:eastAsia="標楷體" w:hAnsi="標楷體" w:hint="eastAsia"/>
        </w:rPr>
        <w:t>：</w:t>
      </w:r>
    </w:p>
    <w:p w:rsidR="004A511E" w:rsidRDefault="00F2479F" w:rsidP="00D35279">
      <w:pPr>
        <w:spacing w:line="360" w:lineRule="auto"/>
        <w:ind w:leftChars="118" w:left="283"/>
        <w:rPr>
          <w:rFonts w:ascii="標楷體" w:eastAsia="標楷體" w:hAnsi="標楷體"/>
        </w:rPr>
      </w:pPr>
      <w:r w:rsidRPr="00D35279">
        <w:rPr>
          <w:rFonts w:ascii="標楷體" w:eastAsia="標楷體" w:hAnsi="標楷體" w:hint="eastAsia"/>
        </w:rPr>
        <w:t>一、</w:t>
      </w:r>
      <w:r w:rsidR="004A511E" w:rsidRPr="00D35279">
        <w:rPr>
          <w:rFonts w:ascii="標楷體" w:eastAsia="標楷體" w:hAnsi="標楷體" w:hint="eastAsia"/>
        </w:rPr>
        <w:t>說明國民中學特殊教育班級運作型態。</w:t>
      </w:r>
    </w:p>
    <w:p w:rsidR="00F2479F" w:rsidRPr="00D35279" w:rsidRDefault="004A511E" w:rsidP="004A511E">
      <w:pPr>
        <w:spacing w:line="360" w:lineRule="auto"/>
        <w:ind w:leftChars="118" w:left="283"/>
        <w:rPr>
          <w:rFonts w:ascii="標楷體" w:eastAsia="標楷體" w:hAnsi="標楷體"/>
        </w:rPr>
      </w:pPr>
      <w:r>
        <w:rPr>
          <w:rFonts w:ascii="標楷體" w:eastAsia="標楷體" w:hAnsi="標楷體" w:hint="eastAsia"/>
        </w:rPr>
        <w:t>二、</w:t>
      </w:r>
      <w:r w:rsidR="00F2479F" w:rsidRPr="00D35279">
        <w:rPr>
          <w:rFonts w:ascii="標楷體" w:eastAsia="標楷體" w:hAnsi="標楷體" w:hint="eastAsia"/>
        </w:rPr>
        <w:t>說明國民中學教育安置選擇的考量原則。</w:t>
      </w:r>
    </w:p>
    <w:p w:rsidR="00F2479F" w:rsidRPr="00D35279" w:rsidRDefault="008C54C5" w:rsidP="00D35279">
      <w:pPr>
        <w:spacing w:line="360" w:lineRule="auto"/>
        <w:ind w:leftChars="118" w:left="283"/>
        <w:rPr>
          <w:rFonts w:ascii="標楷體" w:eastAsia="標楷體" w:hAnsi="標楷體"/>
        </w:rPr>
      </w:pPr>
      <w:r>
        <w:rPr>
          <w:rFonts w:ascii="標楷體" w:eastAsia="標楷體" w:hAnsi="標楷體" w:hint="eastAsia"/>
        </w:rPr>
        <w:t>三、協助</w:t>
      </w:r>
      <w:r w:rsidR="00F2479F" w:rsidRPr="00D35279">
        <w:rPr>
          <w:rFonts w:ascii="標楷體" w:eastAsia="標楷體" w:hAnsi="標楷體" w:hint="eastAsia"/>
        </w:rPr>
        <w:t>家長了解身心障礙學生鑑定安置流程。</w:t>
      </w:r>
    </w:p>
    <w:p w:rsidR="00F2479F" w:rsidRPr="00D35279" w:rsidRDefault="00F2479F" w:rsidP="00D35279">
      <w:pPr>
        <w:spacing w:line="360" w:lineRule="auto"/>
        <w:rPr>
          <w:rFonts w:ascii="標楷體" w:eastAsia="標楷體" w:hAnsi="標楷體"/>
        </w:rPr>
      </w:pPr>
      <w:r w:rsidRPr="00D35279">
        <w:rPr>
          <w:rFonts w:ascii="標楷體" w:eastAsia="標楷體" w:hAnsi="標楷體" w:hint="eastAsia"/>
        </w:rPr>
        <w:t>參、主辦單位：臺北市政府教育局</w:t>
      </w:r>
    </w:p>
    <w:p w:rsidR="00F2479F" w:rsidRPr="00D35279" w:rsidRDefault="00F2479F" w:rsidP="00D35279">
      <w:pPr>
        <w:spacing w:line="360" w:lineRule="auto"/>
        <w:rPr>
          <w:rFonts w:ascii="標楷體" w:eastAsia="標楷體" w:hAnsi="標楷體"/>
        </w:rPr>
      </w:pPr>
      <w:r w:rsidRPr="00D35279">
        <w:rPr>
          <w:rFonts w:ascii="標楷體" w:eastAsia="標楷體" w:hAnsi="標楷體" w:hint="eastAsia"/>
        </w:rPr>
        <w:t>肆、承辦單位：臺北市</w:t>
      </w:r>
      <w:r w:rsidR="000D5423">
        <w:rPr>
          <w:rFonts w:ascii="標楷體" w:eastAsia="標楷體" w:hAnsi="標楷體" w:hint="eastAsia"/>
        </w:rPr>
        <w:t>立芳和實驗國民中學</w:t>
      </w:r>
      <w:r w:rsidRPr="00D35279">
        <w:rPr>
          <w:rFonts w:ascii="標楷體" w:eastAsia="標楷體" w:hAnsi="標楷體" w:hint="eastAsia"/>
        </w:rPr>
        <w:t>東區特教資源中心</w:t>
      </w:r>
    </w:p>
    <w:p w:rsidR="00F2479F" w:rsidRPr="00D35279" w:rsidRDefault="00F2479F" w:rsidP="000245C7">
      <w:pPr>
        <w:spacing w:line="360" w:lineRule="auto"/>
        <w:ind w:left="283" w:hangingChars="118" w:hanging="283"/>
        <w:rPr>
          <w:rFonts w:ascii="標楷體" w:eastAsia="標楷體" w:hAnsi="標楷體"/>
        </w:rPr>
      </w:pPr>
      <w:r w:rsidRPr="00D35279">
        <w:rPr>
          <w:rFonts w:ascii="標楷體" w:eastAsia="標楷體" w:hAnsi="標楷體" w:hint="eastAsia"/>
        </w:rPr>
        <w:t>伍、參加對象</w:t>
      </w:r>
      <w:r w:rsidRPr="002852E9">
        <w:rPr>
          <w:rFonts w:ascii="標楷體" w:eastAsia="標楷體" w:hAnsi="標楷體" w:hint="eastAsia"/>
        </w:rPr>
        <w:t>：</w:t>
      </w:r>
      <w:r w:rsidR="002852E9" w:rsidRPr="002852E9">
        <w:rPr>
          <w:rFonts w:ascii="標楷體" w:eastAsia="標楷體" w:hAnsi="標楷體" w:hint="eastAsia"/>
        </w:rPr>
        <w:t>國小接受特殊教育服務</w:t>
      </w:r>
      <w:r w:rsidR="008926C3">
        <w:rPr>
          <w:rFonts w:ascii="標楷體" w:eastAsia="標楷體" w:hAnsi="標楷體" w:hint="eastAsia"/>
        </w:rPr>
        <w:t>並</w:t>
      </w:r>
      <w:r w:rsidR="008926C3" w:rsidRPr="008926C3">
        <w:rPr>
          <w:rFonts w:ascii="標楷體" w:eastAsia="標楷體" w:hAnsi="標楷體" w:hint="eastAsia"/>
        </w:rPr>
        <w:t>設籍本市</w:t>
      </w:r>
      <w:r w:rsidR="008926C3">
        <w:rPr>
          <w:rFonts w:ascii="標楷體" w:eastAsia="標楷體" w:hAnsi="標楷體" w:hint="eastAsia"/>
        </w:rPr>
        <w:t>，</w:t>
      </w:r>
      <w:r w:rsidR="002852E9" w:rsidRPr="002852E9">
        <w:rPr>
          <w:rFonts w:ascii="標楷體" w:eastAsia="標楷體" w:hAnsi="標楷體" w:hint="eastAsia"/>
        </w:rPr>
        <w:t>且國中考量</w:t>
      </w:r>
      <w:r w:rsidR="005550CD">
        <w:rPr>
          <w:rFonts w:ascii="標楷體" w:eastAsia="標楷體" w:hAnsi="標楷體" w:hint="eastAsia"/>
        </w:rPr>
        <w:t>繼續</w:t>
      </w:r>
      <w:r w:rsidR="00051E7E">
        <w:rPr>
          <w:rFonts w:ascii="標楷體" w:eastAsia="標楷體" w:hAnsi="標楷體" w:hint="eastAsia"/>
        </w:rPr>
        <w:t>接受特教服務</w:t>
      </w:r>
      <w:r w:rsidR="002852E9" w:rsidRPr="002852E9">
        <w:rPr>
          <w:rFonts w:ascii="標楷體" w:eastAsia="標楷體" w:hAnsi="標楷體" w:hint="eastAsia"/>
        </w:rPr>
        <w:t>之學生家長。</w:t>
      </w:r>
    </w:p>
    <w:p w:rsidR="00F2479F" w:rsidRPr="00D35279" w:rsidRDefault="000245C7" w:rsidP="000245C7">
      <w:pPr>
        <w:spacing w:line="360" w:lineRule="auto"/>
        <w:ind w:left="283" w:hangingChars="118" w:hanging="283"/>
        <w:rPr>
          <w:rFonts w:ascii="標楷體" w:eastAsia="標楷體" w:hAnsi="標楷體"/>
        </w:rPr>
      </w:pPr>
      <w:r>
        <w:rPr>
          <w:rFonts w:ascii="標楷體" w:eastAsia="標楷體" w:hAnsi="標楷體" w:hint="eastAsia"/>
        </w:rPr>
        <w:t>陸、活動日期、地點及內容：</w:t>
      </w:r>
    </w:p>
    <w:tbl>
      <w:tblPr>
        <w:tblStyle w:val="a3"/>
        <w:tblW w:w="11340" w:type="dxa"/>
        <w:tblInd w:w="-459" w:type="dxa"/>
        <w:tblLook w:val="04A0" w:firstRow="1" w:lastRow="0" w:firstColumn="1" w:lastColumn="0" w:noHBand="0" w:noVBand="1"/>
      </w:tblPr>
      <w:tblGrid>
        <w:gridCol w:w="456"/>
        <w:gridCol w:w="2379"/>
        <w:gridCol w:w="2835"/>
        <w:gridCol w:w="1701"/>
        <w:gridCol w:w="2552"/>
        <w:gridCol w:w="1417"/>
      </w:tblGrid>
      <w:tr w:rsidR="000D5423" w:rsidTr="000D5423">
        <w:trPr>
          <w:trHeight w:val="445"/>
        </w:trPr>
        <w:tc>
          <w:tcPr>
            <w:tcW w:w="456" w:type="dxa"/>
          </w:tcPr>
          <w:p w:rsidR="000D5423" w:rsidRDefault="000D5423" w:rsidP="00D35279">
            <w:pPr>
              <w:pStyle w:val="Default"/>
              <w:jc w:val="center"/>
              <w:rPr>
                <w:szCs w:val="23"/>
              </w:rPr>
            </w:pPr>
            <w:r>
              <w:rPr>
                <w:rFonts w:hint="eastAsia"/>
                <w:szCs w:val="23"/>
              </w:rPr>
              <w:t>日期</w:t>
            </w:r>
          </w:p>
        </w:tc>
        <w:tc>
          <w:tcPr>
            <w:tcW w:w="5214" w:type="dxa"/>
            <w:gridSpan w:val="2"/>
            <w:vAlign w:val="center"/>
          </w:tcPr>
          <w:p w:rsidR="000D5423" w:rsidRDefault="000D5423" w:rsidP="000D5423">
            <w:pPr>
              <w:pStyle w:val="Default"/>
              <w:jc w:val="center"/>
              <w:rPr>
                <w:szCs w:val="23"/>
              </w:rPr>
            </w:pPr>
            <w:r>
              <w:rPr>
                <w:rFonts w:hint="eastAsia"/>
                <w:szCs w:val="23"/>
              </w:rPr>
              <w:t>研習會場</w:t>
            </w:r>
          </w:p>
        </w:tc>
        <w:tc>
          <w:tcPr>
            <w:tcW w:w="1701" w:type="dxa"/>
            <w:vAlign w:val="center"/>
          </w:tcPr>
          <w:p w:rsidR="000D5423" w:rsidRDefault="000D5423" w:rsidP="000D5423">
            <w:pPr>
              <w:pStyle w:val="Default"/>
              <w:jc w:val="center"/>
              <w:rPr>
                <w:szCs w:val="23"/>
              </w:rPr>
            </w:pPr>
            <w:r>
              <w:rPr>
                <w:rFonts w:hint="eastAsia"/>
                <w:szCs w:val="23"/>
              </w:rPr>
              <w:t>時間</w:t>
            </w:r>
          </w:p>
        </w:tc>
        <w:tc>
          <w:tcPr>
            <w:tcW w:w="2552" w:type="dxa"/>
            <w:vAlign w:val="center"/>
          </w:tcPr>
          <w:p w:rsidR="000D5423" w:rsidRDefault="000D5423" w:rsidP="00D35279">
            <w:pPr>
              <w:pStyle w:val="Default"/>
              <w:jc w:val="center"/>
              <w:rPr>
                <w:szCs w:val="23"/>
              </w:rPr>
            </w:pPr>
            <w:r>
              <w:rPr>
                <w:rFonts w:hint="eastAsia"/>
                <w:szCs w:val="23"/>
              </w:rPr>
              <w:t>主題</w:t>
            </w:r>
          </w:p>
        </w:tc>
        <w:tc>
          <w:tcPr>
            <w:tcW w:w="1417" w:type="dxa"/>
            <w:vAlign w:val="center"/>
          </w:tcPr>
          <w:p w:rsidR="000D5423" w:rsidRDefault="000D5423" w:rsidP="00D35279">
            <w:pPr>
              <w:pStyle w:val="Default"/>
              <w:jc w:val="center"/>
              <w:rPr>
                <w:szCs w:val="23"/>
              </w:rPr>
            </w:pPr>
            <w:r>
              <w:rPr>
                <w:rFonts w:hint="eastAsia"/>
                <w:szCs w:val="23"/>
              </w:rPr>
              <w:t>主講人</w:t>
            </w:r>
          </w:p>
        </w:tc>
      </w:tr>
      <w:tr w:rsidR="000D5423" w:rsidTr="000D5423">
        <w:trPr>
          <w:trHeight w:val="537"/>
        </w:trPr>
        <w:tc>
          <w:tcPr>
            <w:tcW w:w="456" w:type="dxa"/>
            <w:vMerge w:val="restart"/>
            <w:vAlign w:val="center"/>
          </w:tcPr>
          <w:p w:rsidR="000D5423" w:rsidRDefault="000D5423" w:rsidP="000245C7">
            <w:pPr>
              <w:pStyle w:val="Default"/>
              <w:jc w:val="center"/>
              <w:rPr>
                <w:szCs w:val="23"/>
              </w:rPr>
            </w:pPr>
            <w:r>
              <w:rPr>
                <w:rFonts w:hint="eastAsia"/>
                <w:szCs w:val="23"/>
              </w:rPr>
              <w:t>10月20日</w:t>
            </w:r>
          </w:p>
          <w:p w:rsidR="000D5423" w:rsidRDefault="000D5423" w:rsidP="0078436F">
            <w:pPr>
              <w:pStyle w:val="Default"/>
              <w:jc w:val="center"/>
              <w:rPr>
                <w:szCs w:val="23"/>
              </w:rPr>
            </w:pPr>
            <w:r>
              <w:rPr>
                <w:rFonts w:hint="eastAsia"/>
                <w:szCs w:val="23"/>
              </w:rPr>
              <w:t>星期六</w:t>
            </w:r>
          </w:p>
        </w:tc>
        <w:tc>
          <w:tcPr>
            <w:tcW w:w="2379" w:type="dxa"/>
            <w:vMerge w:val="restart"/>
            <w:vAlign w:val="center"/>
          </w:tcPr>
          <w:p w:rsidR="000D5423" w:rsidRDefault="000D5423" w:rsidP="00153325">
            <w:pPr>
              <w:pStyle w:val="Default"/>
              <w:jc w:val="center"/>
              <w:rPr>
                <w:szCs w:val="23"/>
              </w:rPr>
            </w:pPr>
            <w:r>
              <w:rPr>
                <w:rFonts w:hint="eastAsia"/>
                <w:szCs w:val="23"/>
              </w:rPr>
              <w:t>第一會場</w:t>
            </w:r>
            <w:r w:rsidR="00D2431D">
              <w:rPr>
                <w:rFonts w:hint="eastAsia"/>
                <w:szCs w:val="23"/>
              </w:rPr>
              <w:t>(主場)</w:t>
            </w:r>
          </w:p>
          <w:p w:rsidR="000D5423" w:rsidRDefault="000D5423" w:rsidP="000D5423">
            <w:pPr>
              <w:pStyle w:val="Default"/>
              <w:jc w:val="center"/>
              <w:rPr>
                <w:szCs w:val="23"/>
              </w:rPr>
            </w:pPr>
            <w:r>
              <w:rPr>
                <w:rFonts w:hint="eastAsia"/>
                <w:szCs w:val="23"/>
              </w:rPr>
              <w:t>芳和實中</w:t>
            </w:r>
          </w:p>
          <w:p w:rsidR="000D5423" w:rsidRDefault="000D5423" w:rsidP="000D5423">
            <w:pPr>
              <w:pStyle w:val="Default"/>
              <w:jc w:val="center"/>
              <w:rPr>
                <w:szCs w:val="23"/>
              </w:rPr>
            </w:pPr>
            <w:r>
              <w:rPr>
                <w:rFonts w:hint="eastAsia"/>
                <w:szCs w:val="23"/>
              </w:rPr>
              <w:t>三棟二樓藝游軒</w:t>
            </w:r>
          </w:p>
          <w:p w:rsidR="000D5423" w:rsidRDefault="000D5423" w:rsidP="000D5423">
            <w:pPr>
              <w:pStyle w:val="Default"/>
              <w:jc w:val="center"/>
              <w:rPr>
                <w:szCs w:val="23"/>
              </w:rPr>
            </w:pPr>
            <w:r>
              <w:rPr>
                <w:rFonts w:hint="eastAsia"/>
                <w:szCs w:val="23"/>
              </w:rPr>
              <w:t>(由主講人現場說明)</w:t>
            </w:r>
          </w:p>
        </w:tc>
        <w:tc>
          <w:tcPr>
            <w:tcW w:w="2835" w:type="dxa"/>
            <w:vMerge w:val="restart"/>
            <w:vAlign w:val="center"/>
          </w:tcPr>
          <w:p w:rsidR="000D5423" w:rsidRDefault="000D5423" w:rsidP="0064377C">
            <w:pPr>
              <w:pStyle w:val="Default"/>
              <w:jc w:val="center"/>
              <w:rPr>
                <w:szCs w:val="23"/>
              </w:rPr>
            </w:pPr>
            <w:r>
              <w:rPr>
                <w:rFonts w:hint="eastAsia"/>
                <w:szCs w:val="23"/>
              </w:rPr>
              <w:t>第二會場</w:t>
            </w:r>
            <w:r w:rsidR="00D2431D">
              <w:rPr>
                <w:rFonts w:hint="eastAsia"/>
                <w:szCs w:val="23"/>
              </w:rPr>
              <w:t>(同步轉播)</w:t>
            </w:r>
          </w:p>
          <w:p w:rsidR="000D5423" w:rsidRDefault="000D5423" w:rsidP="0064377C">
            <w:pPr>
              <w:pStyle w:val="Default"/>
              <w:jc w:val="center"/>
              <w:rPr>
                <w:szCs w:val="23"/>
              </w:rPr>
            </w:pPr>
            <w:r>
              <w:rPr>
                <w:rFonts w:hint="eastAsia"/>
                <w:szCs w:val="23"/>
              </w:rPr>
              <w:t>芳和實中</w:t>
            </w:r>
          </w:p>
          <w:p w:rsidR="000D5423" w:rsidRDefault="000D5423" w:rsidP="0064377C">
            <w:pPr>
              <w:pStyle w:val="Default"/>
              <w:jc w:val="center"/>
              <w:rPr>
                <w:szCs w:val="23"/>
              </w:rPr>
            </w:pPr>
            <w:r>
              <w:rPr>
                <w:rFonts w:hint="eastAsia"/>
                <w:szCs w:val="23"/>
              </w:rPr>
              <w:t>二棟二樓視聽教室</w:t>
            </w:r>
          </w:p>
          <w:p w:rsidR="000D5423" w:rsidRDefault="000D5423" w:rsidP="0064377C">
            <w:pPr>
              <w:pStyle w:val="Default"/>
              <w:jc w:val="center"/>
              <w:rPr>
                <w:szCs w:val="23"/>
              </w:rPr>
            </w:pPr>
            <w:r>
              <w:rPr>
                <w:rFonts w:hint="eastAsia"/>
                <w:szCs w:val="23"/>
              </w:rPr>
              <w:t>(以同步視訊方式進行)</w:t>
            </w:r>
          </w:p>
        </w:tc>
        <w:tc>
          <w:tcPr>
            <w:tcW w:w="1701" w:type="dxa"/>
            <w:vAlign w:val="center"/>
          </w:tcPr>
          <w:p w:rsidR="000D5423" w:rsidRDefault="000D5423" w:rsidP="0064377C">
            <w:pPr>
              <w:pStyle w:val="Default"/>
              <w:jc w:val="center"/>
              <w:rPr>
                <w:szCs w:val="23"/>
              </w:rPr>
            </w:pPr>
            <w:r>
              <w:rPr>
                <w:rFonts w:hint="eastAsia"/>
                <w:szCs w:val="23"/>
              </w:rPr>
              <w:t>09：00-09：30</w:t>
            </w:r>
          </w:p>
        </w:tc>
        <w:tc>
          <w:tcPr>
            <w:tcW w:w="3969" w:type="dxa"/>
            <w:gridSpan w:val="2"/>
            <w:vAlign w:val="center"/>
          </w:tcPr>
          <w:p w:rsidR="000D5423" w:rsidRDefault="000D5423" w:rsidP="00153325">
            <w:pPr>
              <w:pStyle w:val="Default"/>
              <w:jc w:val="center"/>
              <w:rPr>
                <w:szCs w:val="23"/>
              </w:rPr>
            </w:pPr>
            <w:r>
              <w:rPr>
                <w:rFonts w:hint="eastAsia"/>
                <w:szCs w:val="23"/>
              </w:rPr>
              <w:t>報到</w:t>
            </w:r>
          </w:p>
        </w:tc>
      </w:tr>
      <w:tr w:rsidR="000D5423" w:rsidTr="000D5423">
        <w:trPr>
          <w:trHeight w:val="1408"/>
        </w:trPr>
        <w:tc>
          <w:tcPr>
            <w:tcW w:w="456" w:type="dxa"/>
            <w:vMerge/>
          </w:tcPr>
          <w:p w:rsidR="000D5423" w:rsidRDefault="000D5423" w:rsidP="00153325">
            <w:pPr>
              <w:pStyle w:val="Default"/>
              <w:jc w:val="center"/>
              <w:rPr>
                <w:szCs w:val="23"/>
              </w:rPr>
            </w:pPr>
          </w:p>
        </w:tc>
        <w:tc>
          <w:tcPr>
            <w:tcW w:w="2379" w:type="dxa"/>
            <w:vMerge/>
            <w:vAlign w:val="center"/>
          </w:tcPr>
          <w:p w:rsidR="000D5423" w:rsidRDefault="000D5423" w:rsidP="00153325">
            <w:pPr>
              <w:pStyle w:val="Default"/>
              <w:jc w:val="center"/>
              <w:rPr>
                <w:szCs w:val="23"/>
              </w:rPr>
            </w:pPr>
          </w:p>
        </w:tc>
        <w:tc>
          <w:tcPr>
            <w:tcW w:w="2835" w:type="dxa"/>
            <w:vMerge/>
          </w:tcPr>
          <w:p w:rsidR="000D5423" w:rsidRDefault="000D5423" w:rsidP="0064377C">
            <w:pPr>
              <w:pStyle w:val="Default"/>
              <w:jc w:val="center"/>
              <w:rPr>
                <w:szCs w:val="23"/>
              </w:rPr>
            </w:pPr>
          </w:p>
        </w:tc>
        <w:tc>
          <w:tcPr>
            <w:tcW w:w="1701" w:type="dxa"/>
            <w:vAlign w:val="center"/>
          </w:tcPr>
          <w:p w:rsidR="000D5423" w:rsidRDefault="000D5423" w:rsidP="000D5423">
            <w:pPr>
              <w:pStyle w:val="Default"/>
              <w:jc w:val="center"/>
              <w:rPr>
                <w:szCs w:val="23"/>
              </w:rPr>
            </w:pPr>
            <w:r>
              <w:rPr>
                <w:rFonts w:hint="eastAsia"/>
                <w:szCs w:val="23"/>
              </w:rPr>
              <w:t>09：30-11：00</w:t>
            </w:r>
          </w:p>
        </w:tc>
        <w:tc>
          <w:tcPr>
            <w:tcW w:w="2552" w:type="dxa"/>
            <w:vAlign w:val="center"/>
          </w:tcPr>
          <w:p w:rsidR="000D5423" w:rsidRDefault="000D5423" w:rsidP="00D35279">
            <w:pPr>
              <w:pStyle w:val="Default"/>
              <w:jc w:val="center"/>
              <w:rPr>
                <w:szCs w:val="23"/>
              </w:rPr>
            </w:pPr>
            <w:r>
              <w:rPr>
                <w:rFonts w:hint="eastAsia"/>
                <w:szCs w:val="23"/>
              </w:rPr>
              <w:t>國中鑑定安置流程與特教育服務概況介紹</w:t>
            </w:r>
          </w:p>
        </w:tc>
        <w:tc>
          <w:tcPr>
            <w:tcW w:w="1417" w:type="dxa"/>
            <w:vMerge w:val="restart"/>
            <w:vAlign w:val="center"/>
          </w:tcPr>
          <w:p w:rsidR="000D5423" w:rsidRDefault="000D5423" w:rsidP="00153325">
            <w:pPr>
              <w:pStyle w:val="Default"/>
              <w:jc w:val="center"/>
              <w:rPr>
                <w:szCs w:val="23"/>
              </w:rPr>
            </w:pPr>
            <w:r>
              <w:rPr>
                <w:rFonts w:hint="eastAsia"/>
                <w:szCs w:val="23"/>
              </w:rPr>
              <w:t>東區特教資源中心</w:t>
            </w:r>
          </w:p>
          <w:p w:rsidR="000D5423" w:rsidRDefault="000D5423" w:rsidP="00153325">
            <w:pPr>
              <w:pStyle w:val="Default"/>
              <w:jc w:val="center"/>
              <w:rPr>
                <w:szCs w:val="23"/>
              </w:rPr>
            </w:pPr>
            <w:r>
              <w:rPr>
                <w:rFonts w:hint="eastAsia"/>
                <w:szCs w:val="23"/>
              </w:rPr>
              <w:t>葉純菁主任</w:t>
            </w:r>
          </w:p>
        </w:tc>
      </w:tr>
      <w:tr w:rsidR="000D5423" w:rsidTr="00C06407">
        <w:trPr>
          <w:trHeight w:val="542"/>
        </w:trPr>
        <w:tc>
          <w:tcPr>
            <w:tcW w:w="456" w:type="dxa"/>
            <w:vMerge/>
          </w:tcPr>
          <w:p w:rsidR="000D5423" w:rsidRDefault="000D5423" w:rsidP="000D5423">
            <w:pPr>
              <w:pStyle w:val="Default"/>
              <w:jc w:val="center"/>
              <w:rPr>
                <w:szCs w:val="23"/>
              </w:rPr>
            </w:pPr>
          </w:p>
        </w:tc>
        <w:tc>
          <w:tcPr>
            <w:tcW w:w="5214" w:type="dxa"/>
            <w:gridSpan w:val="2"/>
            <w:vAlign w:val="center"/>
          </w:tcPr>
          <w:p w:rsidR="000D5423" w:rsidRDefault="000D5423" w:rsidP="000D5423">
            <w:pPr>
              <w:pStyle w:val="Default"/>
              <w:jc w:val="center"/>
              <w:rPr>
                <w:szCs w:val="23"/>
              </w:rPr>
            </w:pPr>
            <w:r>
              <w:rPr>
                <w:rFonts w:hint="eastAsia"/>
                <w:szCs w:val="23"/>
              </w:rPr>
              <w:t>芳和實中三棟二樓藝游軒</w:t>
            </w:r>
          </w:p>
          <w:p w:rsidR="000D5423" w:rsidRPr="000D5423" w:rsidRDefault="000D5423" w:rsidP="000D5423">
            <w:pPr>
              <w:pStyle w:val="Default"/>
              <w:jc w:val="center"/>
              <w:rPr>
                <w:szCs w:val="23"/>
              </w:rPr>
            </w:pPr>
            <w:r>
              <w:rPr>
                <w:rFonts w:hint="eastAsia"/>
                <w:szCs w:val="23"/>
              </w:rPr>
              <w:t>(兩會場合併共同綜合座談)</w:t>
            </w:r>
          </w:p>
        </w:tc>
        <w:tc>
          <w:tcPr>
            <w:tcW w:w="1701" w:type="dxa"/>
            <w:vAlign w:val="center"/>
          </w:tcPr>
          <w:p w:rsidR="000D5423" w:rsidRDefault="000D5423" w:rsidP="000D5423">
            <w:pPr>
              <w:pStyle w:val="Default"/>
              <w:jc w:val="center"/>
              <w:rPr>
                <w:szCs w:val="23"/>
              </w:rPr>
            </w:pPr>
            <w:r>
              <w:rPr>
                <w:rFonts w:hint="eastAsia"/>
                <w:szCs w:val="23"/>
              </w:rPr>
              <w:t>11：00-11：30</w:t>
            </w:r>
          </w:p>
        </w:tc>
        <w:tc>
          <w:tcPr>
            <w:tcW w:w="2552" w:type="dxa"/>
            <w:vAlign w:val="center"/>
          </w:tcPr>
          <w:p w:rsidR="000D5423" w:rsidRDefault="000D5423" w:rsidP="000D5423">
            <w:pPr>
              <w:pStyle w:val="Default"/>
              <w:jc w:val="center"/>
              <w:rPr>
                <w:szCs w:val="23"/>
              </w:rPr>
            </w:pPr>
            <w:r>
              <w:rPr>
                <w:rFonts w:hint="eastAsia"/>
                <w:szCs w:val="23"/>
              </w:rPr>
              <w:t>經驗分享暨綜合座談</w:t>
            </w:r>
          </w:p>
        </w:tc>
        <w:tc>
          <w:tcPr>
            <w:tcW w:w="1417" w:type="dxa"/>
            <w:vMerge/>
            <w:vAlign w:val="center"/>
          </w:tcPr>
          <w:p w:rsidR="000D5423" w:rsidRDefault="000D5423" w:rsidP="000D5423">
            <w:pPr>
              <w:pStyle w:val="Default"/>
              <w:jc w:val="center"/>
              <w:rPr>
                <w:szCs w:val="23"/>
              </w:rPr>
            </w:pPr>
          </w:p>
        </w:tc>
      </w:tr>
    </w:tbl>
    <w:p w:rsidR="00F2479F" w:rsidRDefault="00F2479F" w:rsidP="00F2479F">
      <w:pPr>
        <w:pStyle w:val="Default"/>
      </w:pPr>
    </w:p>
    <w:p w:rsidR="00923994" w:rsidRPr="009E1970" w:rsidRDefault="00085ECC" w:rsidP="009E1970">
      <w:pPr>
        <w:pStyle w:val="Default"/>
        <w:spacing w:line="360" w:lineRule="auto"/>
        <w:ind w:left="425" w:hangingChars="177" w:hanging="425"/>
        <w:rPr>
          <w:b/>
          <w:szCs w:val="23"/>
        </w:rPr>
      </w:pPr>
      <w:r>
        <w:rPr>
          <w:rFonts w:hint="eastAsia"/>
          <w:szCs w:val="23"/>
        </w:rPr>
        <w:t>柒</w:t>
      </w:r>
      <w:r w:rsidR="001C1AED">
        <w:rPr>
          <w:rFonts w:hint="eastAsia"/>
          <w:szCs w:val="23"/>
        </w:rPr>
        <w:t>、報名方式：請各校承辦人員轉知家長相關訊息，並協助家長至東區特教資源中心(</w:t>
      </w:r>
      <w:hyperlink r:id="rId8" w:history="1">
        <w:r w:rsidR="001C1AED" w:rsidRPr="000937C6">
          <w:rPr>
            <w:rStyle w:val="aa"/>
            <w:szCs w:val="23"/>
          </w:rPr>
          <w:t>http://www.terc.tp.edu.tw</w:t>
        </w:r>
      </w:hyperlink>
      <w:r w:rsidR="001C1AED">
        <w:rPr>
          <w:rFonts w:hint="eastAsia"/>
          <w:szCs w:val="23"/>
        </w:rPr>
        <w:t>)網站【最新消息】報名。</w:t>
      </w:r>
      <w:r w:rsidR="00D2431D">
        <w:rPr>
          <w:rFonts w:hint="eastAsia"/>
          <w:szCs w:val="23"/>
        </w:rPr>
        <w:t>第一會場(主場)可容納160人報名，第二會場(同步轉播)可容納120</w:t>
      </w:r>
      <w:r w:rsidR="00121A45">
        <w:rPr>
          <w:rFonts w:hint="eastAsia"/>
          <w:szCs w:val="23"/>
        </w:rPr>
        <w:t>人報名，報名人數額滿</w:t>
      </w:r>
      <w:r w:rsidR="00041A80">
        <w:rPr>
          <w:rFonts w:hint="eastAsia"/>
          <w:szCs w:val="23"/>
        </w:rPr>
        <w:t>，</w:t>
      </w:r>
      <w:r w:rsidR="00BE18A8">
        <w:rPr>
          <w:rFonts w:hint="eastAsia"/>
          <w:szCs w:val="23"/>
        </w:rPr>
        <w:t>恕</w:t>
      </w:r>
      <w:r w:rsidR="00121A45">
        <w:rPr>
          <w:rFonts w:hint="eastAsia"/>
          <w:szCs w:val="23"/>
        </w:rPr>
        <w:t>不受理現場報名。</w:t>
      </w:r>
    </w:p>
    <w:p w:rsidR="00121A45" w:rsidRDefault="00085ECC" w:rsidP="00286481">
      <w:pPr>
        <w:pStyle w:val="Default"/>
        <w:spacing w:line="360" w:lineRule="auto"/>
        <w:rPr>
          <w:szCs w:val="23"/>
        </w:rPr>
      </w:pPr>
      <w:r>
        <w:rPr>
          <w:rFonts w:hint="eastAsia"/>
          <w:szCs w:val="23"/>
        </w:rPr>
        <w:t>捌</w:t>
      </w:r>
      <w:r w:rsidR="00F2479F" w:rsidRPr="00F2479F">
        <w:rPr>
          <w:rFonts w:hint="eastAsia"/>
          <w:szCs w:val="23"/>
        </w:rPr>
        <w:t>、</w:t>
      </w:r>
      <w:r w:rsidR="00121A45">
        <w:rPr>
          <w:rFonts w:hint="eastAsia"/>
          <w:szCs w:val="23"/>
        </w:rPr>
        <w:t>本次家長說明會</w:t>
      </w:r>
      <w:r w:rsidR="0029235B">
        <w:rPr>
          <w:rFonts w:hint="eastAsia"/>
          <w:szCs w:val="23"/>
        </w:rPr>
        <w:t>現場不提供紙本，</w:t>
      </w:r>
      <w:r w:rsidR="00121A45">
        <w:rPr>
          <w:rFonts w:hint="eastAsia"/>
          <w:szCs w:val="23"/>
        </w:rPr>
        <w:t>相關文件於</w:t>
      </w:r>
      <w:r w:rsidR="00270316">
        <w:rPr>
          <w:rFonts w:hint="eastAsia"/>
          <w:szCs w:val="23"/>
        </w:rPr>
        <w:t>107年10月18日(星期四)中午12時</w:t>
      </w:r>
      <w:bookmarkStart w:id="0" w:name="_GoBack"/>
      <w:bookmarkEnd w:id="0"/>
      <w:r w:rsidR="00121A45">
        <w:rPr>
          <w:rFonts w:hint="eastAsia"/>
          <w:szCs w:val="23"/>
        </w:rPr>
        <w:t>公告於東區特教資源中心(</w:t>
      </w:r>
      <w:hyperlink r:id="rId9" w:history="1">
        <w:r w:rsidR="00121A45" w:rsidRPr="000937C6">
          <w:rPr>
            <w:rStyle w:val="aa"/>
            <w:szCs w:val="23"/>
          </w:rPr>
          <w:t>http://www.terc.tp.edu.tw</w:t>
        </w:r>
      </w:hyperlink>
      <w:r w:rsidR="00121A45">
        <w:rPr>
          <w:rFonts w:hint="eastAsia"/>
          <w:szCs w:val="23"/>
        </w:rPr>
        <w:t>)網站─【最新消息】下載。</w:t>
      </w:r>
    </w:p>
    <w:p w:rsidR="00E46FFF" w:rsidRDefault="00E46FFF" w:rsidP="00286481">
      <w:pPr>
        <w:pStyle w:val="Default"/>
        <w:spacing w:line="360" w:lineRule="auto"/>
        <w:rPr>
          <w:szCs w:val="23"/>
        </w:rPr>
      </w:pPr>
      <w:r>
        <w:rPr>
          <w:rFonts w:hint="eastAsia"/>
          <w:szCs w:val="23"/>
        </w:rPr>
        <w:t>玖、</w:t>
      </w:r>
      <w:r w:rsidR="00595648" w:rsidRPr="00595648">
        <w:rPr>
          <w:rFonts w:hint="eastAsia"/>
          <w:szCs w:val="23"/>
        </w:rPr>
        <w:t>說明會地點無提供停車位，請多利用大眾交通工具與會。</w:t>
      </w:r>
    </w:p>
    <w:p w:rsidR="00286481" w:rsidRDefault="00E46FFF" w:rsidP="00286481">
      <w:pPr>
        <w:pStyle w:val="Default"/>
        <w:spacing w:line="360" w:lineRule="auto"/>
        <w:rPr>
          <w:szCs w:val="23"/>
        </w:rPr>
      </w:pPr>
      <w:r>
        <w:rPr>
          <w:rFonts w:hint="eastAsia"/>
          <w:szCs w:val="23"/>
        </w:rPr>
        <w:t>拾</w:t>
      </w:r>
      <w:r w:rsidR="00121A45">
        <w:rPr>
          <w:rFonts w:hint="eastAsia"/>
          <w:szCs w:val="23"/>
        </w:rPr>
        <w:t>、</w:t>
      </w:r>
      <w:r w:rsidR="00F2479F" w:rsidRPr="00F2479F">
        <w:rPr>
          <w:rFonts w:hint="eastAsia"/>
          <w:szCs w:val="23"/>
        </w:rPr>
        <w:t>經費由臺北市政府教育局及臺北市東區特教資源中心相關經費項下支應</w:t>
      </w:r>
      <w:r w:rsidR="00121A45">
        <w:rPr>
          <w:rFonts w:hint="eastAsia"/>
          <w:szCs w:val="23"/>
        </w:rPr>
        <w:t>。</w:t>
      </w:r>
    </w:p>
    <w:p w:rsidR="00B46813" w:rsidRDefault="00B46813">
      <w:pPr>
        <w:widowControl/>
        <w:rPr>
          <w:szCs w:val="23"/>
        </w:rPr>
      </w:pPr>
      <w:r>
        <w:rPr>
          <w:szCs w:val="23"/>
        </w:rPr>
        <w:br w:type="page"/>
      </w:r>
    </w:p>
    <w:p w:rsidR="0064377C" w:rsidRDefault="0064377C" w:rsidP="0064377C">
      <w:pPr>
        <w:rPr>
          <w:rFonts w:ascii="標楷體" w:eastAsia="標楷體" w:hAnsi="標楷體"/>
        </w:rPr>
      </w:pPr>
      <w:r>
        <w:rPr>
          <w:rFonts w:ascii="標楷體" w:eastAsia="標楷體" w:hAnsi="標楷體" w:hint="eastAsia"/>
        </w:rPr>
        <w:lastRenderedPageBreak/>
        <w:t xml:space="preserve">附件                 </w:t>
      </w:r>
    </w:p>
    <w:p w:rsidR="0064377C" w:rsidRPr="00623628" w:rsidRDefault="005D4E9F" w:rsidP="0064377C">
      <w:pPr>
        <w:jc w:val="center"/>
        <w:rPr>
          <w:rFonts w:ascii="標楷體" w:eastAsia="標楷體" w:hAnsi="標楷體"/>
        </w:rPr>
      </w:pPr>
      <w:r>
        <w:rPr>
          <w:rFonts w:ascii="標楷體" w:eastAsia="標楷體" w:hAnsi="標楷體" w:hint="eastAsia"/>
          <w:sz w:val="32"/>
          <w:szCs w:val="32"/>
        </w:rPr>
        <w:t>臺北市立芳和</w:t>
      </w:r>
      <w:r w:rsidR="00121A45">
        <w:rPr>
          <w:rFonts w:ascii="標楷體" w:eastAsia="標楷體" w:hAnsi="標楷體" w:hint="eastAsia"/>
          <w:sz w:val="32"/>
          <w:szCs w:val="32"/>
        </w:rPr>
        <w:t>實驗</w:t>
      </w:r>
      <w:r>
        <w:rPr>
          <w:rFonts w:ascii="標楷體" w:eastAsia="標楷體" w:hAnsi="標楷體" w:hint="eastAsia"/>
          <w:sz w:val="32"/>
          <w:szCs w:val="32"/>
        </w:rPr>
        <w:t>國民中學</w:t>
      </w:r>
      <w:r w:rsidR="0064377C">
        <w:rPr>
          <w:rFonts w:ascii="標楷體" w:eastAsia="標楷體" w:hAnsi="標楷體" w:hint="eastAsia"/>
          <w:sz w:val="32"/>
          <w:szCs w:val="32"/>
        </w:rPr>
        <w:t>地圖</w:t>
      </w:r>
    </w:p>
    <w:p w:rsidR="0064377C" w:rsidRDefault="0064377C" w:rsidP="0064377C">
      <w:pPr>
        <w:jc w:val="center"/>
        <w:rPr>
          <w:rFonts w:ascii="標楷體" w:eastAsia="標楷體" w:hAnsi="標楷體"/>
        </w:rPr>
      </w:pPr>
      <w:r w:rsidRPr="00866D45">
        <w:rPr>
          <w:rFonts w:ascii="標楷體" w:eastAsia="標楷體" w:hAnsi="標楷體" w:hint="eastAsia"/>
        </w:rPr>
        <w:t>地址：</w:t>
      </w:r>
      <w:r w:rsidR="005D4E9F">
        <w:rPr>
          <w:rFonts w:ascii="標楷體" w:eastAsia="標楷體" w:hAnsi="標楷體" w:hint="eastAsia"/>
        </w:rPr>
        <w:t>10671臺北市大安區臥龍街170號</w:t>
      </w:r>
    </w:p>
    <w:p w:rsidR="006A1991" w:rsidRDefault="006A1991" w:rsidP="0064377C">
      <w:pPr>
        <w:jc w:val="center"/>
        <w:rPr>
          <w:rFonts w:ascii="標楷體" w:eastAsia="標楷體" w:hAnsi="標楷體"/>
        </w:rPr>
      </w:pPr>
    </w:p>
    <w:p w:rsidR="006A1991" w:rsidRDefault="006A1991" w:rsidP="0064377C">
      <w:pPr>
        <w:jc w:val="center"/>
        <w:rPr>
          <w:rFonts w:ascii="標楷體" w:eastAsia="標楷體" w:hAnsi="標楷體"/>
        </w:rPr>
      </w:pPr>
    </w:p>
    <w:tbl>
      <w:tblPr>
        <w:tblW w:w="517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963"/>
      </w:tblGrid>
      <w:tr w:rsidR="006A1991" w:rsidTr="00A1194F">
        <w:trPr>
          <w:tblCellSpacing w:w="15" w:type="dxa"/>
          <w:jc w:val="center"/>
        </w:trPr>
        <w:tc>
          <w:tcPr>
            <w:tcW w:w="4966" w:type="pct"/>
            <w:tcBorders>
              <w:top w:val="outset" w:sz="6" w:space="0" w:color="auto"/>
              <w:left w:val="outset" w:sz="6" w:space="0" w:color="auto"/>
              <w:bottom w:val="outset" w:sz="6" w:space="0" w:color="auto"/>
              <w:right w:val="outset" w:sz="6" w:space="0" w:color="auto"/>
            </w:tcBorders>
            <w:shd w:val="clear" w:color="auto" w:fill="EEFFFF"/>
            <w:vAlign w:val="center"/>
          </w:tcPr>
          <w:p w:rsidR="006A1991" w:rsidRDefault="006A1991" w:rsidP="00A1194F">
            <w:pPr>
              <w:rPr>
                <w:rFonts w:ascii="Arial Unicode MS" w:eastAsia="Arial Unicode MS" w:hAnsi="Arial Unicode MS" w:cs="Arial Unicode MS"/>
              </w:rPr>
            </w:pPr>
            <w:r>
              <w:rPr>
                <w:noProof/>
              </w:rPr>
              <w:drawing>
                <wp:inline distT="0" distB="0" distL="0" distR="0">
                  <wp:extent cx="266700" cy="266700"/>
                  <wp:effectExtent l="0" t="0" r="0" b="0"/>
                  <wp:docPr id="5" name="圖片 5" descr="http://www.terc.tp.edu.tw/groceries/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rc.tp.edu.tw/groceries/image/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t>公車和平高中站</w:t>
            </w:r>
            <w:r>
              <w:t>→1(</w:t>
            </w:r>
            <w:r>
              <w:t>福和</w:t>
            </w:r>
            <w:r>
              <w:t>)</w:t>
            </w:r>
            <w:r>
              <w:t>，</w:t>
            </w:r>
            <w:r>
              <w:t>1</w:t>
            </w:r>
            <w:r>
              <w:t>，</w:t>
            </w:r>
            <w:r>
              <w:t>207</w:t>
            </w:r>
            <w:r>
              <w:t>，</w:t>
            </w:r>
            <w:r>
              <w:t>254</w:t>
            </w:r>
            <w:r>
              <w:t>，</w:t>
            </w:r>
            <w:r>
              <w:t>275</w:t>
            </w:r>
          </w:p>
        </w:tc>
      </w:tr>
      <w:tr w:rsidR="006A1991" w:rsidTr="00A1194F">
        <w:trPr>
          <w:tblCellSpacing w:w="15" w:type="dxa"/>
          <w:jc w:val="center"/>
        </w:trPr>
        <w:tc>
          <w:tcPr>
            <w:tcW w:w="4966" w:type="pct"/>
            <w:tcBorders>
              <w:top w:val="outset" w:sz="6" w:space="0" w:color="auto"/>
              <w:left w:val="outset" w:sz="6" w:space="0" w:color="auto"/>
              <w:bottom w:val="outset" w:sz="6" w:space="0" w:color="auto"/>
              <w:right w:val="outset" w:sz="6" w:space="0" w:color="auto"/>
            </w:tcBorders>
            <w:shd w:val="clear" w:color="auto" w:fill="F0F0F0"/>
            <w:vAlign w:val="center"/>
          </w:tcPr>
          <w:p w:rsidR="006A1991" w:rsidRDefault="006A1991" w:rsidP="00A1194F">
            <w:pPr>
              <w:rPr>
                <w:rFonts w:ascii="Arial Unicode MS" w:eastAsia="Arial Unicode MS" w:hAnsi="Arial Unicode MS" w:cs="Arial Unicode MS"/>
              </w:rPr>
            </w:pPr>
            <w:r>
              <w:rPr>
                <w:noProof/>
              </w:rPr>
              <w:drawing>
                <wp:inline distT="0" distB="0" distL="0" distR="0">
                  <wp:extent cx="266700" cy="266700"/>
                  <wp:effectExtent l="0" t="0" r="0" b="0"/>
                  <wp:docPr id="4" name="圖片 4" descr="http://www.terc.tp.edu.tw/groceries/im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rc.tp.edu.tw/groceries/image/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t>公車自來水廠站</w:t>
            </w:r>
            <w:r>
              <w:t>→209</w:t>
            </w:r>
            <w:r>
              <w:t>，</w:t>
            </w:r>
            <w:r>
              <w:t>237</w:t>
            </w:r>
            <w:r>
              <w:t>，</w:t>
            </w:r>
            <w:r>
              <w:t>294</w:t>
            </w:r>
            <w:r>
              <w:t>，</w:t>
            </w:r>
            <w:r>
              <w:t>295</w:t>
            </w:r>
            <w:r>
              <w:t>，</w:t>
            </w:r>
            <w:r>
              <w:t>298</w:t>
            </w:r>
            <w:r>
              <w:t>，</w:t>
            </w:r>
            <w:r>
              <w:t>616 (</w:t>
            </w:r>
            <w:r>
              <w:t>後四線亦可在和平高中站下</w:t>
            </w:r>
            <w:r>
              <w:t>)</w:t>
            </w:r>
          </w:p>
        </w:tc>
      </w:tr>
      <w:tr w:rsidR="006A1991" w:rsidTr="00A1194F">
        <w:trPr>
          <w:tblCellSpacing w:w="15" w:type="dxa"/>
          <w:jc w:val="center"/>
        </w:trPr>
        <w:tc>
          <w:tcPr>
            <w:tcW w:w="4966" w:type="pct"/>
            <w:tcBorders>
              <w:top w:val="outset" w:sz="6" w:space="0" w:color="auto"/>
              <w:left w:val="outset" w:sz="6" w:space="0" w:color="auto"/>
              <w:bottom w:val="outset" w:sz="6" w:space="0" w:color="auto"/>
              <w:right w:val="outset" w:sz="6" w:space="0" w:color="auto"/>
            </w:tcBorders>
            <w:shd w:val="clear" w:color="auto" w:fill="EEFFFF"/>
            <w:vAlign w:val="center"/>
          </w:tcPr>
          <w:p w:rsidR="006A1991" w:rsidRDefault="006A1991" w:rsidP="00A1194F">
            <w:pPr>
              <w:rPr>
                <w:rFonts w:ascii="Arial Unicode MS" w:eastAsia="Arial Unicode MS" w:hAnsi="Arial Unicode MS" w:cs="Arial Unicode MS"/>
              </w:rPr>
            </w:pPr>
            <w:r>
              <w:rPr>
                <w:noProof/>
              </w:rPr>
              <w:drawing>
                <wp:inline distT="0" distB="0" distL="0" distR="0">
                  <wp:extent cx="266700" cy="266700"/>
                  <wp:effectExtent l="0" t="0" r="0" b="0"/>
                  <wp:docPr id="3" name="圖片 3" descr="http://www.terc.tp.edu.tw/groceries/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rc.tp.edu.tw/groceries/image/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t>捷運</w:t>
            </w:r>
            <w:r>
              <w:rPr>
                <w:noProof/>
              </w:rPr>
              <w:drawing>
                <wp:inline distT="0" distB="0" distL="0" distR="0">
                  <wp:extent cx="561975" cy="342900"/>
                  <wp:effectExtent l="0" t="0" r="9525" b="0"/>
                  <wp:docPr id="2" name="圖片 2" descr="http://www.terc.tp.edu.tw/groceries/image/subwa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rc.tp.edu.tw/groceries/image/subway.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342900"/>
                          </a:xfrm>
                          <a:prstGeom prst="rect">
                            <a:avLst/>
                          </a:prstGeom>
                          <a:noFill/>
                          <a:ln>
                            <a:noFill/>
                          </a:ln>
                        </pic:spPr>
                      </pic:pic>
                    </a:graphicData>
                  </a:graphic>
                </wp:inline>
              </w:drawing>
            </w:r>
            <w:r>
              <w:t>木柵線</w:t>
            </w:r>
            <w:r>
              <w:rPr>
                <w:color w:val="FF00FF"/>
              </w:rPr>
              <w:t>六張</w:t>
            </w:r>
            <w:r>
              <w:rPr>
                <w:rFonts w:hint="eastAsia"/>
                <w:color w:val="FF00FF"/>
              </w:rPr>
              <w:t>犁</w:t>
            </w:r>
            <w:r>
              <w:rPr>
                <w:color w:val="FF00FF"/>
              </w:rPr>
              <w:t>站</w:t>
            </w:r>
            <w:r>
              <w:t>下車後步程約</w:t>
            </w:r>
            <w:r>
              <w:t>15</w:t>
            </w:r>
            <w:r>
              <w:t>分鐘</w:t>
            </w:r>
          </w:p>
        </w:tc>
      </w:tr>
      <w:tr w:rsidR="006A1991" w:rsidTr="00A1194F">
        <w:trPr>
          <w:tblCellSpacing w:w="15" w:type="dxa"/>
          <w:jc w:val="center"/>
        </w:trPr>
        <w:tc>
          <w:tcPr>
            <w:tcW w:w="4966" w:type="pct"/>
            <w:tcBorders>
              <w:top w:val="outset" w:sz="6" w:space="0" w:color="auto"/>
              <w:left w:val="outset" w:sz="6" w:space="0" w:color="auto"/>
              <w:bottom w:val="outset" w:sz="6" w:space="0" w:color="auto"/>
              <w:right w:val="outset" w:sz="6" w:space="0" w:color="auto"/>
            </w:tcBorders>
            <w:shd w:val="clear" w:color="auto" w:fill="F0F0F0"/>
            <w:vAlign w:val="center"/>
          </w:tcPr>
          <w:p w:rsidR="006A1991" w:rsidRDefault="006A1991" w:rsidP="00A1194F">
            <w:pPr>
              <w:jc w:val="center"/>
              <w:rPr>
                <w:rFonts w:ascii="Arial Unicode MS" w:eastAsia="Arial Unicode MS" w:hAnsi="Arial Unicode MS" w:cs="Arial Unicode MS"/>
              </w:rPr>
            </w:pPr>
            <w:r>
              <w:rPr>
                <w:sz w:val="20"/>
                <w:szCs w:val="20"/>
              </w:rPr>
              <w:t>本中心地址：</w:t>
            </w:r>
            <w:r>
              <w:rPr>
                <w:color w:val="0000FF"/>
                <w:sz w:val="20"/>
                <w:szCs w:val="20"/>
              </w:rPr>
              <w:t>台北市大安區臥龍街</w:t>
            </w:r>
            <w:r>
              <w:rPr>
                <w:color w:val="0000FF"/>
                <w:sz w:val="20"/>
                <w:szCs w:val="20"/>
              </w:rPr>
              <w:t>170</w:t>
            </w:r>
            <w:r>
              <w:rPr>
                <w:color w:val="0000FF"/>
                <w:sz w:val="20"/>
                <w:szCs w:val="20"/>
              </w:rPr>
              <w:t>號</w:t>
            </w:r>
            <w:r>
              <w:rPr>
                <w:color w:val="0000FF"/>
                <w:sz w:val="20"/>
                <w:szCs w:val="20"/>
              </w:rPr>
              <w:t>(</w:t>
            </w:r>
            <w:r>
              <w:rPr>
                <w:color w:val="0000FF"/>
                <w:sz w:val="20"/>
                <w:szCs w:val="20"/>
              </w:rPr>
              <w:t>芳和國中內</w:t>
            </w:r>
            <w:r>
              <w:rPr>
                <w:color w:val="0000FF"/>
                <w:sz w:val="20"/>
                <w:szCs w:val="20"/>
              </w:rPr>
              <w:t xml:space="preserve">) </w:t>
            </w:r>
            <w:r>
              <w:rPr>
                <w:sz w:val="20"/>
                <w:szCs w:val="20"/>
              </w:rPr>
              <w:t>電話：</w:t>
            </w:r>
            <w:r>
              <w:rPr>
                <w:sz w:val="20"/>
                <w:szCs w:val="20"/>
              </w:rPr>
              <w:t>(02)2732-0800</w:t>
            </w:r>
            <w:r>
              <w:t xml:space="preserve"> </w:t>
            </w:r>
            <w:hyperlink r:id="rId14" w:history="1">
              <w:r>
                <w:rPr>
                  <w:rStyle w:val="aa"/>
                  <w:color w:val="FF0000"/>
                </w:rPr>
                <w:t>轉各分機</w:t>
              </w:r>
            </w:hyperlink>
            <w:r>
              <w:t xml:space="preserve"> </w:t>
            </w:r>
          </w:p>
        </w:tc>
      </w:tr>
      <w:tr w:rsidR="006A1991" w:rsidTr="00A1194F">
        <w:trPr>
          <w:tblCellSpacing w:w="15" w:type="dxa"/>
          <w:jc w:val="center"/>
        </w:trPr>
        <w:tc>
          <w:tcPr>
            <w:tcW w:w="4966" w:type="pct"/>
            <w:tcBorders>
              <w:top w:val="outset" w:sz="6" w:space="0" w:color="auto"/>
              <w:left w:val="outset" w:sz="6" w:space="0" w:color="auto"/>
              <w:bottom w:val="outset" w:sz="6" w:space="0" w:color="auto"/>
              <w:right w:val="outset" w:sz="6" w:space="0" w:color="auto"/>
            </w:tcBorders>
            <w:shd w:val="clear" w:color="auto" w:fill="EEFFFF"/>
            <w:vAlign w:val="center"/>
          </w:tcPr>
          <w:p w:rsidR="006A1991" w:rsidRDefault="006A1991" w:rsidP="00A1194F">
            <w:pPr>
              <w:pStyle w:val="Web"/>
              <w:jc w:val="center"/>
            </w:pPr>
            <w:r>
              <w:rPr>
                <w:noProof/>
              </w:rPr>
              <w:drawing>
                <wp:inline distT="0" distB="0" distL="0" distR="0">
                  <wp:extent cx="5391150" cy="5295900"/>
                  <wp:effectExtent l="0" t="0" r="0" b="0"/>
                  <wp:docPr id="1" name="圖片 1" descr="http://www.terc.tp.edu.tw/groceries/image/fhjhma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rc.tp.edu.tw/groceries/image/fhjhmap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5295900"/>
                          </a:xfrm>
                          <a:prstGeom prst="rect">
                            <a:avLst/>
                          </a:prstGeom>
                          <a:noFill/>
                          <a:ln>
                            <a:noFill/>
                          </a:ln>
                        </pic:spPr>
                      </pic:pic>
                    </a:graphicData>
                  </a:graphic>
                </wp:inline>
              </w:drawing>
            </w:r>
          </w:p>
        </w:tc>
      </w:tr>
    </w:tbl>
    <w:p w:rsidR="0064377C" w:rsidRDefault="0064377C" w:rsidP="0064377C">
      <w:pPr>
        <w:rPr>
          <w:rFonts w:ascii="標楷體" w:eastAsia="標楷體" w:hAnsi="標楷體"/>
        </w:rPr>
      </w:pPr>
    </w:p>
    <w:p w:rsidR="00F2479F" w:rsidRPr="0064377C" w:rsidRDefault="00F2479F" w:rsidP="00975410">
      <w:pPr>
        <w:pStyle w:val="Default"/>
        <w:rPr>
          <w:sz w:val="32"/>
        </w:rPr>
      </w:pPr>
    </w:p>
    <w:sectPr w:rsidR="00F2479F" w:rsidRPr="0064377C" w:rsidSect="000738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926" w:rsidRDefault="00004926" w:rsidP="0007382C">
      <w:r>
        <w:separator/>
      </w:r>
    </w:p>
  </w:endnote>
  <w:endnote w:type="continuationSeparator" w:id="0">
    <w:p w:rsidR="00004926" w:rsidRDefault="00004926" w:rsidP="0007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Cambria">
    <w:charset w:val="00"/>
    <w:family w:val="roman"/>
    <w:pitch w:val="variable"/>
    <w:sig w:usb0="E00002FF" w:usb1="400004FF" w:usb2="00000000" w:usb3="00000000" w:csb0="0000019F" w:csb1="00000000"/>
  </w:font>
  <w:font w:name="Arial Unicode MS">
    <w:altName w:val="Microsoft JhengHei UI"/>
    <w:panose1 w:val="020B0604020202020204"/>
    <w:charset w:val="88"/>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926" w:rsidRDefault="00004926" w:rsidP="0007382C">
      <w:r>
        <w:separator/>
      </w:r>
    </w:p>
  </w:footnote>
  <w:footnote w:type="continuationSeparator" w:id="0">
    <w:p w:rsidR="00004926" w:rsidRDefault="00004926" w:rsidP="000738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B333B"/>
    <w:multiLevelType w:val="hybridMultilevel"/>
    <w:tmpl w:val="13F899E4"/>
    <w:lvl w:ilvl="0" w:tplc="2D7438EC">
      <w:start w:val="1"/>
      <w:numFmt w:val="ideographLegalTraditional"/>
      <w:lvlText w:val="%1、"/>
      <w:lvlJc w:val="left"/>
      <w:pPr>
        <w:ind w:left="420" w:hanging="4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4A7E2A"/>
    <w:multiLevelType w:val="hybridMultilevel"/>
    <w:tmpl w:val="4AEA8792"/>
    <w:lvl w:ilvl="0" w:tplc="791C8552">
      <w:start w:val="1"/>
      <w:numFmt w:val="taiwaneseCountingThousand"/>
      <w:lvlText w:val="%1、"/>
      <w:lvlJc w:val="left"/>
      <w:pPr>
        <w:tabs>
          <w:tab w:val="num" w:pos="720"/>
        </w:tabs>
        <w:ind w:left="720" w:hanging="720"/>
      </w:pPr>
      <w:rPr>
        <w:rFonts w:hint="eastAsia"/>
        <w:lang w:val="en-US"/>
      </w:rPr>
    </w:lvl>
    <w:lvl w:ilvl="1" w:tplc="E7682836">
      <w:start w:val="1"/>
      <w:numFmt w:val="taiwaneseCountingThousand"/>
      <w:lvlText w:val="（%2）"/>
      <w:lvlJc w:val="left"/>
      <w:pPr>
        <w:tabs>
          <w:tab w:val="num" w:pos="1335"/>
        </w:tabs>
        <w:ind w:left="1335" w:hanging="855"/>
      </w:pPr>
      <w:rPr>
        <w:rFonts w:hint="eastAsia"/>
      </w:rPr>
    </w:lvl>
    <w:lvl w:ilvl="2" w:tplc="C9764894">
      <w:start w:val="1"/>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C13370F"/>
    <w:multiLevelType w:val="multilevel"/>
    <w:tmpl w:val="D7A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04DF1"/>
    <w:multiLevelType w:val="hybridMultilevel"/>
    <w:tmpl w:val="12EAE996"/>
    <w:lvl w:ilvl="0" w:tplc="C1902BF0">
      <w:start w:val="1"/>
      <w:numFmt w:val="ideographLegalTraditional"/>
      <w:lvlText w:val="%1、"/>
      <w:lvlJc w:val="left"/>
      <w:pPr>
        <w:ind w:left="420" w:hanging="4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363774"/>
    <w:multiLevelType w:val="hybridMultilevel"/>
    <w:tmpl w:val="F934FE8E"/>
    <w:lvl w:ilvl="0" w:tplc="7D62AF48">
      <w:start w:val="1"/>
      <w:numFmt w:val="ideographLegalTraditional"/>
      <w:lvlText w:val="%1、"/>
      <w:lvlJc w:val="left"/>
      <w:pPr>
        <w:ind w:left="420" w:hanging="4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4"/>
  </w:num>
  <w:num w:numId="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9F"/>
    <w:rsid w:val="00004926"/>
    <w:rsid w:val="000245C7"/>
    <w:rsid w:val="00041A80"/>
    <w:rsid w:val="00051E7E"/>
    <w:rsid w:val="0007382C"/>
    <w:rsid w:val="00085ECC"/>
    <w:rsid w:val="000D5423"/>
    <w:rsid w:val="00121A45"/>
    <w:rsid w:val="00153325"/>
    <w:rsid w:val="001C1AED"/>
    <w:rsid w:val="001F71DA"/>
    <w:rsid w:val="00207781"/>
    <w:rsid w:val="00270316"/>
    <w:rsid w:val="002852E9"/>
    <w:rsid w:val="00286481"/>
    <w:rsid w:val="00286C56"/>
    <w:rsid w:val="0029235B"/>
    <w:rsid w:val="002E4F17"/>
    <w:rsid w:val="002F2199"/>
    <w:rsid w:val="002F69FB"/>
    <w:rsid w:val="00396FE6"/>
    <w:rsid w:val="003B2234"/>
    <w:rsid w:val="003D1605"/>
    <w:rsid w:val="004A511E"/>
    <w:rsid w:val="004F2BDF"/>
    <w:rsid w:val="004F3EC3"/>
    <w:rsid w:val="005550CD"/>
    <w:rsid w:val="00593566"/>
    <w:rsid w:val="00595648"/>
    <w:rsid w:val="005C0FEF"/>
    <w:rsid w:val="005D4E9F"/>
    <w:rsid w:val="0064377C"/>
    <w:rsid w:val="00646247"/>
    <w:rsid w:val="006A1991"/>
    <w:rsid w:val="006D565C"/>
    <w:rsid w:val="00704625"/>
    <w:rsid w:val="0078436F"/>
    <w:rsid w:val="008451AF"/>
    <w:rsid w:val="00852C48"/>
    <w:rsid w:val="00887487"/>
    <w:rsid w:val="008926C3"/>
    <w:rsid w:val="008C54C5"/>
    <w:rsid w:val="00923994"/>
    <w:rsid w:val="00947EB3"/>
    <w:rsid w:val="00971F08"/>
    <w:rsid w:val="00975410"/>
    <w:rsid w:val="009E1970"/>
    <w:rsid w:val="00A07510"/>
    <w:rsid w:val="00A80B09"/>
    <w:rsid w:val="00B10D9E"/>
    <w:rsid w:val="00B10E18"/>
    <w:rsid w:val="00B46324"/>
    <w:rsid w:val="00B46813"/>
    <w:rsid w:val="00B60F92"/>
    <w:rsid w:val="00B920AE"/>
    <w:rsid w:val="00BB37FE"/>
    <w:rsid w:val="00BE18A8"/>
    <w:rsid w:val="00C41B83"/>
    <w:rsid w:val="00C56D10"/>
    <w:rsid w:val="00C93653"/>
    <w:rsid w:val="00C95F85"/>
    <w:rsid w:val="00CD5D2A"/>
    <w:rsid w:val="00D2431D"/>
    <w:rsid w:val="00D35279"/>
    <w:rsid w:val="00E46FFF"/>
    <w:rsid w:val="00EB7765"/>
    <w:rsid w:val="00F2479F"/>
    <w:rsid w:val="00FA62FD"/>
    <w:rsid w:val="00FC0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05AB88"/>
  <w15:docId w15:val="{4D5F2935-0B75-439E-A77A-99887637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479F"/>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F2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0FE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C0FEF"/>
    <w:rPr>
      <w:rFonts w:asciiTheme="majorHAnsi" w:eastAsiaTheme="majorEastAsia" w:hAnsiTheme="majorHAnsi" w:cstheme="majorBidi"/>
      <w:sz w:val="18"/>
      <w:szCs w:val="18"/>
    </w:rPr>
  </w:style>
  <w:style w:type="paragraph" w:styleId="a6">
    <w:name w:val="header"/>
    <w:basedOn w:val="a"/>
    <w:link w:val="a7"/>
    <w:uiPriority w:val="99"/>
    <w:unhideWhenUsed/>
    <w:rsid w:val="0007382C"/>
    <w:pPr>
      <w:tabs>
        <w:tab w:val="center" w:pos="4153"/>
        <w:tab w:val="right" w:pos="8306"/>
      </w:tabs>
      <w:snapToGrid w:val="0"/>
    </w:pPr>
    <w:rPr>
      <w:sz w:val="20"/>
      <w:szCs w:val="20"/>
    </w:rPr>
  </w:style>
  <w:style w:type="character" w:customStyle="1" w:styleId="a7">
    <w:name w:val="頁首 字元"/>
    <w:basedOn w:val="a0"/>
    <w:link w:val="a6"/>
    <w:uiPriority w:val="99"/>
    <w:rsid w:val="0007382C"/>
    <w:rPr>
      <w:sz w:val="20"/>
      <w:szCs w:val="20"/>
    </w:rPr>
  </w:style>
  <w:style w:type="paragraph" w:styleId="a8">
    <w:name w:val="footer"/>
    <w:basedOn w:val="a"/>
    <w:link w:val="a9"/>
    <w:uiPriority w:val="99"/>
    <w:unhideWhenUsed/>
    <w:rsid w:val="0007382C"/>
    <w:pPr>
      <w:tabs>
        <w:tab w:val="center" w:pos="4153"/>
        <w:tab w:val="right" w:pos="8306"/>
      </w:tabs>
      <w:snapToGrid w:val="0"/>
    </w:pPr>
    <w:rPr>
      <w:sz w:val="20"/>
      <w:szCs w:val="20"/>
    </w:rPr>
  </w:style>
  <w:style w:type="character" w:customStyle="1" w:styleId="a9">
    <w:name w:val="頁尾 字元"/>
    <w:basedOn w:val="a0"/>
    <w:link w:val="a8"/>
    <w:uiPriority w:val="99"/>
    <w:rsid w:val="0007382C"/>
    <w:rPr>
      <w:sz w:val="20"/>
      <w:szCs w:val="20"/>
    </w:rPr>
  </w:style>
  <w:style w:type="character" w:styleId="aa">
    <w:name w:val="Hyperlink"/>
    <w:basedOn w:val="a0"/>
    <w:uiPriority w:val="99"/>
    <w:unhideWhenUsed/>
    <w:rsid w:val="009E1970"/>
    <w:rPr>
      <w:color w:val="0000FF" w:themeColor="hyperlink"/>
      <w:u w:val="single"/>
    </w:rPr>
  </w:style>
  <w:style w:type="character" w:styleId="ab">
    <w:name w:val="FollowedHyperlink"/>
    <w:basedOn w:val="a0"/>
    <w:uiPriority w:val="99"/>
    <w:semiHidden/>
    <w:unhideWhenUsed/>
    <w:rsid w:val="009E1970"/>
    <w:rPr>
      <w:color w:val="800080" w:themeColor="followedHyperlink"/>
      <w:u w:val="single"/>
    </w:rPr>
  </w:style>
  <w:style w:type="paragraph" w:styleId="ac">
    <w:name w:val="List Paragraph"/>
    <w:basedOn w:val="a"/>
    <w:uiPriority w:val="34"/>
    <w:qFormat/>
    <w:rsid w:val="00704625"/>
    <w:pPr>
      <w:ind w:leftChars="200" w:left="480"/>
    </w:pPr>
  </w:style>
  <w:style w:type="paragraph" w:styleId="Web">
    <w:name w:val="Normal (Web)"/>
    <w:basedOn w:val="a"/>
    <w:unhideWhenUsed/>
    <w:rsid w:val="0064377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c.tp.edu.tw"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erc.tp.edu.tw" TargetMode="External"/><Relationship Id="rId14" Type="http://schemas.openxmlformats.org/officeDocument/2006/relationships/hyperlink" Target="http://www.terc.tp.edu.tw/grocerie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36AE-DF8B-48A9-8094-7A99A93E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cp:lastPrinted>2018-10-08T09:08:00Z</cp:lastPrinted>
  <dcterms:created xsi:type="dcterms:W3CDTF">2014-12-01T14:20:00Z</dcterms:created>
  <dcterms:modified xsi:type="dcterms:W3CDTF">2018-10-08T10:17:00Z</dcterms:modified>
</cp:coreProperties>
</file>